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Loewen.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M.A.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entrée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M.A.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M.A.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hands-on.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entrées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Lincoln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Lincoln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footnotes."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storytelling.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meta-discussion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on-brand.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Nathan.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 Isidore: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 Frick: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Morgan.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 Schuber: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Tuscaloosa,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 Isidore: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"Alabama-experience."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Savannah Finber: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tailgate.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 Schuber: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 Frick: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telephone.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 Isidore: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tailgaters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 Schuber: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goodbye.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Dacey,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Savannah Finber: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 Isidore: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tailgaters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Auburn,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1930-ish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 Frick: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Lincoln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reluctant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18: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quizzed.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recollection.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 Isidore: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 Schuber: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(singing).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Allison Isidore: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Tuscaloosa.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Bernardi.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indulge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sci-fi,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 Mark Hen...: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baristas,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priests?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sci-fi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personhood?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M.A.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 Ashley: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Judaism,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Savannah Finber: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00:19:41]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liaison,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Gilbert.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offhand?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Gilbert: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Gilbreth,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McCutcheon,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Czech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Czech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robotnik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feudal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contrivance.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McCutcheon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robot?"?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human-like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anthropomorphic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human-like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unfamiliar.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porcelain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etymology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Jeremee?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Ruth Vann Lilli...: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Lillian,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Tuscaloosa.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00:25:06]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funerals,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perfunctory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Lillian,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litmus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Otheseus?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Bernardi.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 Bernardi: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Shifflett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freesound.org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Jeremee Nute: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www.religion.ua.edu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facebook.com/rel@ua.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religiousstudies@ua.edu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@studyreligion.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squirrels.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McMurry,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Loewen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Isidore,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Bernardi.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Cartonberg.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Toad-in-the-hole.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Loewen: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Toad-in-the-hole.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Altman: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 13 Podcast Podcast - 2:10:20, 9.35 AM (Completed  02/11/20)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"https://www.rev.com/transcript-editor/shared/eTXE5nUTHYlbd1JL8JAWd6Pob3YauLfudISgKTSNCh9JDwNnZFMqFNF7Bt1ZHRDhBhCTzKnqB6TwZfObPZYMn9XPHCg?loadFrom=DocumentHeaderDeepLink"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